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0" w:beforeAutospacing="0" w:after="0" w:afterAutospacing="0"/>
        <w:ind w:right="0"/>
        <w:jc w:val="both"/>
        <w:rPr>
          <w:rFonts w:hint="eastAsia" w:ascii="方正黑体_GBK" w:hAnsi="方正黑体_GBK" w:eastAsia="方正黑体_GBK" w:cs="方正黑体_GBK"/>
          <w:i w:val="0"/>
          <w:caps w:val="0"/>
          <w:color w:val="333333"/>
          <w:spacing w:val="0"/>
          <w:sz w:val="32"/>
          <w:szCs w:val="32"/>
          <w:shd w:val="clear" w:color="auto" w:fill="FFFFFF"/>
          <w:lang w:eastAsia="zh-CN"/>
        </w:rPr>
      </w:pPr>
      <w:r>
        <w:rPr>
          <w:rFonts w:hint="eastAsia" w:ascii="方正黑体_GBK" w:hAnsi="方正黑体_GBK" w:eastAsia="方正黑体_GBK" w:cs="方正黑体_GBK"/>
          <w:i w:val="0"/>
          <w:caps w:val="0"/>
          <w:color w:val="333333"/>
          <w:spacing w:val="0"/>
          <w:sz w:val="32"/>
          <w:szCs w:val="32"/>
          <w:shd w:val="clear" w:color="auto" w:fill="FFFFFF"/>
          <w:lang w:eastAsia="zh-CN"/>
        </w:rPr>
        <w:t>附件</w:t>
      </w:r>
      <w:r>
        <w:rPr>
          <w:rFonts w:hint="eastAsia" w:ascii="方正黑体_GBK" w:hAnsi="方正黑体_GBK" w:eastAsia="方正黑体_GBK" w:cs="方正黑体_GBK"/>
          <w:i w:val="0"/>
          <w:caps w:val="0"/>
          <w:color w:val="333333"/>
          <w:spacing w:val="0"/>
          <w:sz w:val="32"/>
          <w:szCs w:val="32"/>
          <w:shd w:val="clear" w:color="auto" w:fill="FFFFFF"/>
          <w:lang w:val="en-US" w:eastAsia="zh-CN"/>
        </w:rPr>
        <w:t>1</w:t>
      </w:r>
      <w:r>
        <w:rPr>
          <w:rFonts w:hint="eastAsia" w:ascii="方正黑体_GBK" w:hAnsi="方正黑体_GBK" w:eastAsia="方正黑体_GBK" w:cs="方正黑体_GBK"/>
          <w:i w:val="0"/>
          <w:caps w:val="0"/>
          <w:color w:val="333333"/>
          <w:spacing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ind w:firstLine="723" w:firstLineChars="200"/>
        <w:jc w:val="center"/>
        <w:textAlignment w:val="auto"/>
        <w:rPr>
          <w:rFonts w:hint="eastAsia" w:ascii="方正小标宋简体" w:hAnsi="方正小标宋简体" w:eastAsia="方正小标宋简体" w:cs="方正小标宋简体"/>
          <w:b/>
          <w:bCs/>
          <w:sz w:val="36"/>
          <w:szCs w:val="36"/>
          <w:lang w:val="en-US" w:eastAsia="zh-CN"/>
        </w:rPr>
      </w:pPr>
      <w:r>
        <w:rPr>
          <w:rFonts w:hint="eastAsia" w:ascii="方正小标宋简体" w:hAnsi="方正小标宋简体" w:eastAsia="方正小标宋简体" w:cs="方正小标宋简体"/>
          <w:b/>
          <w:bCs/>
          <w:sz w:val="36"/>
          <w:szCs w:val="36"/>
          <w:lang w:val="en-US" w:eastAsia="zh-CN"/>
        </w:rPr>
        <w:t>周口市商标品牌奖励实施和管理办法</w:t>
      </w:r>
    </w:p>
    <w:p>
      <w:pPr>
        <w:keepNext w:val="0"/>
        <w:keepLines w:val="0"/>
        <w:pageBreakBefore w:val="0"/>
        <w:widowControl w:val="0"/>
        <w:kinsoku/>
        <w:wordWrap/>
        <w:overflowPunct/>
        <w:topLinePunct w:val="0"/>
        <w:autoSpaceDE/>
        <w:autoSpaceDN/>
        <w:bidi w:val="0"/>
        <w:adjustRightInd/>
        <w:snapToGrid/>
        <w:ind w:firstLine="723" w:firstLineChars="200"/>
        <w:jc w:val="center"/>
        <w:textAlignment w:val="auto"/>
        <w:rPr>
          <w:rFonts w:hint="eastAsia" w:ascii="方正小标宋简体" w:hAnsi="方正小标宋简体" w:eastAsia="方正小标宋简体" w:cs="方正小标宋简体"/>
          <w:b/>
          <w:bCs/>
          <w:sz w:val="36"/>
          <w:szCs w:val="36"/>
          <w:lang w:val="en-US" w:eastAsia="zh-CN"/>
        </w:rPr>
      </w:pPr>
      <w:r>
        <w:rPr>
          <w:rFonts w:hint="eastAsia" w:ascii="方正小标宋简体" w:hAnsi="方正小标宋简体" w:eastAsia="方正小标宋简体" w:cs="方正小标宋简体"/>
          <w:b/>
          <w:bCs/>
          <w:sz w:val="36"/>
          <w:szCs w:val="36"/>
          <w:lang w:val="en-US" w:eastAsia="zh-CN"/>
        </w:rPr>
        <w:t>(征求公众意见稿)</w:t>
      </w:r>
    </w:p>
    <w:p>
      <w:pPr>
        <w:keepNext w:val="0"/>
        <w:keepLines w:val="0"/>
        <w:pageBreakBefore w:val="0"/>
        <w:widowControl w:val="0"/>
        <w:kinsoku/>
        <w:wordWrap/>
        <w:overflowPunct/>
        <w:topLinePunct w:val="0"/>
        <w:autoSpaceDE/>
        <w:autoSpaceDN/>
        <w:bidi w:val="0"/>
        <w:adjustRightInd/>
        <w:snapToGrid/>
        <w:ind w:firstLine="643" w:firstLineChars="200"/>
        <w:jc w:val="both"/>
        <w:textAlignment w:val="auto"/>
        <w:rPr>
          <w:rFonts w:hint="eastAsia" w:ascii="CESI仿宋-GB2312" w:hAnsi="CESI仿宋-GB2312" w:eastAsia="CESI仿宋-GB2312" w:cs="CESI仿宋-GB2312"/>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第一章  总则</w:t>
      </w:r>
    </w:p>
    <w:p>
      <w:pPr>
        <w:keepNext w:val="0"/>
        <w:keepLines w:val="0"/>
        <w:widowControl/>
        <w:suppressLineNumbers w:val="0"/>
        <w:ind w:firstLine="643" w:firstLineChars="200"/>
        <w:jc w:val="left"/>
        <w:rPr>
          <w:rFonts w:hint="eastAsia" w:ascii="CESI仿宋-GB2312" w:hAnsi="CESI仿宋-GB2312" w:eastAsia="CESI仿宋-GB2312" w:cs="CESI仿宋-GB2312"/>
          <w:b w:val="0"/>
          <w:bCs/>
          <w:sz w:val="32"/>
          <w:szCs w:val="32"/>
          <w:lang w:val="en-US" w:eastAsia="zh-CN"/>
        </w:rPr>
      </w:pPr>
      <w:r>
        <w:rPr>
          <w:rFonts w:hint="eastAsia" w:ascii="CESI仿宋-GB2312" w:hAnsi="CESI仿宋-GB2312" w:eastAsia="CESI仿宋-GB2312" w:cs="CESI仿宋-GB2312"/>
          <w:b/>
          <w:bCs/>
          <w:sz w:val="32"/>
          <w:szCs w:val="32"/>
          <w:lang w:val="en-US" w:eastAsia="zh-CN"/>
        </w:rPr>
        <w:t xml:space="preserve">第一条 </w:t>
      </w:r>
      <w:r>
        <w:rPr>
          <w:rFonts w:hint="eastAsia" w:ascii="CESI仿宋-GB2312" w:hAnsi="CESI仿宋-GB2312" w:eastAsia="CESI仿宋-GB2312" w:cs="CESI仿宋-GB2312"/>
          <w:b w:val="0"/>
          <w:bCs w:val="0"/>
          <w:sz w:val="32"/>
          <w:szCs w:val="32"/>
          <w:lang w:val="en-US" w:eastAsia="zh-CN"/>
        </w:rPr>
        <w:t xml:space="preserve"> </w:t>
      </w:r>
      <w:r>
        <w:rPr>
          <w:rFonts w:hint="eastAsia" w:ascii="CESI仿宋-GB2312" w:hAnsi="CESI仿宋-GB2312" w:eastAsia="CESI仿宋-GB2312" w:cs="CESI仿宋-GB2312"/>
          <w:i w:val="0"/>
          <w:caps w:val="0"/>
          <w:color w:val="000000"/>
          <w:spacing w:val="0"/>
          <w:kern w:val="0"/>
          <w:sz w:val="32"/>
          <w:szCs w:val="32"/>
          <w:shd w:val="clear" w:color="auto" w:fill="FFFFFF"/>
          <w:lang w:val="en-US" w:eastAsia="zh-CN" w:bidi="ar"/>
        </w:rPr>
        <w:t>为进一步推进商标品牌战略实施，优化社会经济发展环境，促进产业结构升级，增强企业核心竞争力，</w:t>
      </w:r>
      <w:r>
        <w:rPr>
          <w:rFonts w:hint="eastAsia" w:ascii="CESI仿宋-GB2312" w:hAnsi="CESI仿宋-GB2312" w:eastAsia="CESI仿宋-GB2312" w:cs="CESI仿宋-GB2312"/>
          <w:b w:val="0"/>
          <w:bCs w:val="0"/>
          <w:sz w:val="32"/>
          <w:szCs w:val="32"/>
          <w:lang w:val="en-US" w:eastAsia="zh-CN"/>
        </w:rPr>
        <w:t>根据</w:t>
      </w:r>
      <w:r>
        <w:rPr>
          <w:rFonts w:hint="eastAsia" w:ascii="CESI仿宋-GB2312" w:hAnsi="CESI仿宋-GB2312" w:eastAsia="CESI仿宋-GB2312" w:cs="CESI仿宋-GB2312"/>
          <w:b w:val="0"/>
          <w:bCs w:val="0"/>
          <w:i w:val="0"/>
          <w:caps w:val="0"/>
          <w:color w:val="333333"/>
          <w:spacing w:val="0"/>
          <w:sz w:val="32"/>
          <w:szCs w:val="32"/>
          <w:shd w:val="clear" w:color="auto" w:fill="FFFFFF"/>
        </w:rPr>
        <w:t>《知识产权强国建设纲要（2021－2035年）》</w:t>
      </w:r>
      <w:r>
        <w:rPr>
          <w:rFonts w:hint="eastAsia" w:ascii="CESI仿宋-GB2312" w:hAnsi="CESI仿宋-GB2312" w:eastAsia="CESI仿宋-GB2312" w:cs="CESI仿宋-GB2312"/>
          <w:b w:val="0"/>
          <w:bCs w:val="0"/>
          <w:i w:val="0"/>
          <w:caps w:val="0"/>
          <w:color w:val="333333"/>
          <w:spacing w:val="0"/>
          <w:sz w:val="32"/>
          <w:szCs w:val="32"/>
          <w:shd w:val="clear" w:color="auto" w:fill="FFFFFF"/>
          <w:lang w:eastAsia="zh-CN"/>
        </w:rPr>
        <w:t>、</w:t>
      </w:r>
      <w:r>
        <w:rPr>
          <w:rFonts w:hint="eastAsia" w:ascii="CESI仿宋-GB2312" w:hAnsi="CESI仿宋-GB2312" w:eastAsia="CESI仿宋-GB2312" w:cs="CESI仿宋-GB2312"/>
          <w:b w:val="0"/>
          <w:bCs w:val="0"/>
          <w:sz w:val="32"/>
          <w:szCs w:val="32"/>
          <w:lang w:val="en-US" w:eastAsia="zh-CN"/>
        </w:rPr>
        <w:t>《</w:t>
      </w:r>
      <w:r>
        <w:rPr>
          <w:rFonts w:hint="eastAsia" w:ascii="CESI仿宋-GB2312" w:hAnsi="CESI仿宋-GB2312" w:eastAsia="CESI仿宋-GB2312" w:cs="CESI仿宋-GB2312"/>
          <w:b w:val="0"/>
          <w:bCs w:val="0"/>
          <w:i w:val="0"/>
          <w:caps w:val="0"/>
          <w:color w:val="000000"/>
          <w:spacing w:val="0"/>
          <w:sz w:val="32"/>
          <w:szCs w:val="32"/>
          <w:shd w:val="clear" w:color="auto" w:fill="FFFFFF"/>
        </w:rPr>
        <w:t>河南省人民政府关于新形势下加快知识产权强省建设的若干意见</w:t>
      </w:r>
      <w:r>
        <w:rPr>
          <w:rFonts w:hint="eastAsia" w:ascii="CESI仿宋-GB2312" w:hAnsi="CESI仿宋-GB2312" w:eastAsia="CESI仿宋-GB2312" w:cs="CESI仿宋-GB2312"/>
          <w:b w:val="0"/>
          <w:bCs w:val="0"/>
          <w:i w:val="0"/>
          <w:caps w:val="0"/>
          <w:color w:val="000000"/>
          <w:spacing w:val="0"/>
          <w:sz w:val="32"/>
          <w:szCs w:val="32"/>
          <w:shd w:val="clear" w:color="auto" w:fill="FFFFFF"/>
          <w:lang w:eastAsia="zh-CN"/>
        </w:rPr>
        <w:t>》（</w:t>
      </w:r>
      <w:r>
        <w:rPr>
          <w:rFonts w:hint="eastAsia" w:ascii="CESI仿宋-GB2312" w:hAnsi="CESI仿宋-GB2312" w:eastAsia="CESI仿宋-GB2312" w:cs="CESI仿宋-GB2312"/>
          <w:b w:val="0"/>
          <w:bCs w:val="0"/>
          <w:i w:val="0"/>
          <w:caps w:val="0"/>
          <w:color w:val="000000"/>
          <w:spacing w:val="0"/>
          <w:sz w:val="32"/>
          <w:szCs w:val="32"/>
          <w:shd w:val="clear" w:color="auto" w:fill="FFFFFF"/>
        </w:rPr>
        <w:t>豫政〔2017〕17号</w:t>
      </w:r>
      <w:r>
        <w:rPr>
          <w:rFonts w:hint="eastAsia" w:ascii="CESI仿宋-GB2312" w:hAnsi="CESI仿宋-GB2312" w:eastAsia="CESI仿宋-GB2312" w:cs="CESI仿宋-GB2312"/>
          <w:b w:val="0"/>
          <w:bCs w:val="0"/>
          <w:i w:val="0"/>
          <w:caps w:val="0"/>
          <w:color w:val="000000"/>
          <w:spacing w:val="0"/>
          <w:sz w:val="32"/>
          <w:szCs w:val="32"/>
          <w:shd w:val="clear" w:color="auto" w:fill="FFFFFF"/>
          <w:lang w:eastAsia="zh-CN"/>
        </w:rPr>
        <w:t>）、《关于强化知识产权保护的实施意见》（周办</w:t>
      </w:r>
      <w:r>
        <w:rPr>
          <w:rFonts w:hint="default" w:ascii="CESI仿宋-GB2312" w:hAnsi="CESI仿宋-GB2312" w:eastAsia="CESI仿宋-GB2312" w:cs="CESI仿宋-GB2312"/>
          <w:b w:val="0"/>
          <w:bCs w:val="0"/>
          <w:i w:val="0"/>
          <w:caps w:val="0"/>
          <w:color w:val="000000"/>
          <w:spacing w:val="0"/>
          <w:sz w:val="32"/>
          <w:szCs w:val="32"/>
          <w:shd w:val="clear" w:color="auto" w:fill="FFFFFF"/>
          <w:lang w:val="en" w:eastAsia="zh-CN"/>
        </w:rPr>
        <w:t>[</w:t>
      </w:r>
      <w:r>
        <w:rPr>
          <w:rFonts w:hint="eastAsia" w:ascii="CESI仿宋-GB2312" w:hAnsi="CESI仿宋-GB2312" w:eastAsia="CESI仿宋-GB2312" w:cs="CESI仿宋-GB2312"/>
          <w:b w:val="0"/>
          <w:bCs w:val="0"/>
          <w:i w:val="0"/>
          <w:caps w:val="0"/>
          <w:color w:val="000000"/>
          <w:spacing w:val="0"/>
          <w:sz w:val="32"/>
          <w:szCs w:val="32"/>
          <w:shd w:val="clear" w:color="auto" w:fill="FFFFFF"/>
          <w:lang w:val="en-US" w:eastAsia="zh-CN"/>
        </w:rPr>
        <w:t>2022</w:t>
      </w:r>
      <w:r>
        <w:rPr>
          <w:rFonts w:hint="default" w:ascii="CESI仿宋-GB2312" w:hAnsi="CESI仿宋-GB2312" w:eastAsia="CESI仿宋-GB2312" w:cs="CESI仿宋-GB2312"/>
          <w:b w:val="0"/>
          <w:bCs w:val="0"/>
          <w:i w:val="0"/>
          <w:caps w:val="0"/>
          <w:color w:val="000000"/>
          <w:spacing w:val="0"/>
          <w:sz w:val="32"/>
          <w:szCs w:val="32"/>
          <w:shd w:val="clear" w:color="auto" w:fill="FFFFFF"/>
          <w:lang w:val="en" w:eastAsia="zh-CN"/>
        </w:rPr>
        <w:t>]</w:t>
      </w:r>
      <w:r>
        <w:rPr>
          <w:rFonts w:hint="eastAsia" w:ascii="CESI仿宋-GB2312" w:hAnsi="CESI仿宋-GB2312" w:eastAsia="CESI仿宋-GB2312" w:cs="CESI仿宋-GB2312"/>
          <w:b w:val="0"/>
          <w:bCs w:val="0"/>
          <w:i w:val="0"/>
          <w:caps w:val="0"/>
          <w:color w:val="000000"/>
          <w:spacing w:val="0"/>
          <w:sz w:val="32"/>
          <w:szCs w:val="32"/>
          <w:shd w:val="clear" w:color="auto" w:fill="FFFFFF"/>
          <w:lang w:val="en-US" w:eastAsia="zh-CN"/>
        </w:rPr>
        <w:t xml:space="preserve"> 号</w:t>
      </w:r>
      <w:r>
        <w:rPr>
          <w:rFonts w:hint="eastAsia" w:ascii="CESI仿宋-GB2312" w:hAnsi="CESI仿宋-GB2312" w:eastAsia="CESI仿宋-GB2312" w:cs="CESI仿宋-GB2312"/>
          <w:b w:val="0"/>
          <w:bCs w:val="0"/>
          <w:i w:val="0"/>
          <w:caps w:val="0"/>
          <w:color w:val="000000"/>
          <w:spacing w:val="0"/>
          <w:sz w:val="32"/>
          <w:szCs w:val="32"/>
          <w:shd w:val="clear" w:color="auto" w:fill="FFFFFF"/>
          <w:lang w:eastAsia="zh-CN"/>
        </w:rPr>
        <w:t>）</w:t>
      </w:r>
      <w:r>
        <w:rPr>
          <w:rFonts w:hint="eastAsia" w:ascii="CESI仿宋-GB2312" w:hAnsi="CESI仿宋-GB2312" w:eastAsia="CESI仿宋-GB2312" w:cs="CESI仿宋-GB2312"/>
          <w:b w:val="0"/>
          <w:bCs/>
          <w:sz w:val="32"/>
          <w:szCs w:val="32"/>
          <w:lang w:val="en-US" w:eastAsia="zh-CN"/>
        </w:rPr>
        <w:t xml:space="preserve">要求，结合我市实际，特制定本办法。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第二条</w:t>
      </w:r>
      <w:r>
        <w:rPr>
          <w:rFonts w:hint="eastAsia" w:ascii="CESI仿宋-GB2312" w:hAnsi="CESI仿宋-GB2312" w:eastAsia="CESI仿宋-GB2312" w:cs="CESI仿宋-GB2312"/>
          <w:sz w:val="32"/>
          <w:szCs w:val="32"/>
          <w:lang w:val="en-US" w:eastAsia="zh-CN"/>
        </w:rPr>
        <w:t xml:space="preserve"> 本办法所指商标包括:中国驰名商标、地理标志商标、地理标志产品。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本办法所指的中国驰名商标，是指由国家知识产权局商标局或商标评审委员会认定的驰名商标。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本办法所指的地理标志商标，是指由国家知识产权局商标局核准注册、依法取得商标注册证的商标。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b w:val="0"/>
          <w:bCs w:val="0"/>
          <w:sz w:val="32"/>
          <w:szCs w:val="32"/>
          <w:lang w:val="en-US" w:eastAsia="zh-CN"/>
        </w:rPr>
      </w:pPr>
      <w:r>
        <w:rPr>
          <w:rFonts w:hint="eastAsia" w:ascii="CESI仿宋-GB2312" w:hAnsi="CESI仿宋-GB2312" w:eastAsia="CESI仿宋-GB2312" w:cs="CESI仿宋-GB2312"/>
          <w:b w:val="0"/>
          <w:bCs w:val="0"/>
          <w:sz w:val="32"/>
          <w:szCs w:val="32"/>
          <w:lang w:val="en-US" w:eastAsia="zh-CN"/>
        </w:rPr>
        <w:t>本办法所指的地理标志产品，是指通过由农业农村部组织的审核评定，依法获得农产品地理标志登记证书的地理标志。</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第三条</w:t>
      </w:r>
      <w:r>
        <w:rPr>
          <w:rFonts w:hint="eastAsia" w:ascii="CESI仿宋-GB2312" w:hAnsi="CESI仿宋-GB2312" w:eastAsia="CESI仿宋-GB2312" w:cs="CESI仿宋-GB2312"/>
          <w:sz w:val="32"/>
          <w:szCs w:val="32"/>
          <w:lang w:val="en-US" w:eastAsia="zh-CN"/>
        </w:rPr>
        <w:t xml:space="preserve">  奖励所需资金纳入市财政年度预算，由市财政拨付到市市场监督管理局，由市市场监督管理局兑现。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第四条</w:t>
      </w:r>
      <w:r>
        <w:rPr>
          <w:rFonts w:hint="eastAsia" w:ascii="CESI仿宋-GB2312" w:hAnsi="CESI仿宋-GB2312" w:eastAsia="CESI仿宋-GB2312" w:cs="CESI仿宋-GB2312"/>
          <w:sz w:val="32"/>
          <w:szCs w:val="32"/>
          <w:lang w:val="en-US" w:eastAsia="zh-CN"/>
        </w:rPr>
        <w:t xml:space="preserve"> 市市场监督管理局（知识产权局）负责本办法的统筹、实施。积极支持商标持有单位的商标管理工作，指导相关单位充分发挥商标品牌作用，支持做好商标品牌知识产权的保护。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第二章 奖励额度和限制</w:t>
      </w:r>
    </w:p>
    <w:p>
      <w:pPr>
        <w:keepNext w:val="0"/>
        <w:keepLines w:val="0"/>
        <w:widowControl/>
        <w:suppressLineNumbers w:val="0"/>
        <w:ind w:firstLine="643" w:firstLineChars="200"/>
        <w:jc w:val="left"/>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bCs/>
          <w:sz w:val="32"/>
          <w:szCs w:val="32"/>
          <w:lang w:val="en-US" w:eastAsia="zh-CN"/>
        </w:rPr>
        <w:t>第五条</w:t>
      </w:r>
      <w:r>
        <w:rPr>
          <w:rFonts w:hint="eastAsia" w:ascii="CESI仿宋-GB2312" w:hAnsi="CESI仿宋-GB2312" w:eastAsia="CESI仿宋-GB2312" w:cs="CESI仿宋-GB2312"/>
          <w:sz w:val="32"/>
          <w:szCs w:val="32"/>
          <w:lang w:val="en-US" w:eastAsia="zh-CN"/>
        </w:rPr>
        <w:t xml:space="preserve"> </w:t>
      </w:r>
      <w:r>
        <w:rPr>
          <w:rFonts w:hint="eastAsia" w:ascii="CESI仿宋-GB2312" w:hAnsi="CESI仿宋-GB2312" w:eastAsia="CESI仿宋-GB2312" w:cs="CESI仿宋-GB2312"/>
          <w:i w:val="0"/>
          <w:caps w:val="0"/>
          <w:color w:val="333333"/>
          <w:spacing w:val="0"/>
          <w:kern w:val="0"/>
          <w:sz w:val="32"/>
          <w:szCs w:val="32"/>
          <w:shd w:val="clear" w:color="auto" w:fill="FFFFFF"/>
          <w:lang w:val="en-US" w:eastAsia="zh-CN" w:bidi="ar"/>
        </w:rPr>
        <w:t>商标品牌奖励以精神奖励为主，物质奖励为辅（以下所称奖励均指商标品牌物质奖励）</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对获得中国驰名商标的单位给予一次性奖励20万元。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对获得地理标志商标的单位给予一次性奖励10万元。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对获得地理标志产品的单位给予一次性奖励5万元。 </w:t>
      </w:r>
    </w:p>
    <w:p>
      <w:pPr>
        <w:keepNext w:val="0"/>
        <w:keepLines w:val="0"/>
        <w:widowControl/>
        <w:suppressLineNumbers w:val="0"/>
        <w:ind w:firstLine="643" w:firstLineChars="200"/>
        <w:jc w:val="left"/>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bCs/>
          <w:sz w:val="32"/>
          <w:szCs w:val="32"/>
          <w:lang w:val="en-US" w:eastAsia="zh-CN"/>
        </w:rPr>
        <w:t>第六条</w:t>
      </w:r>
      <w:r>
        <w:rPr>
          <w:rFonts w:hint="eastAsia" w:ascii="CESI仿宋-GB2312" w:hAnsi="CESI仿宋-GB2312" w:eastAsia="CESI仿宋-GB2312" w:cs="CESI仿宋-GB2312"/>
          <w:sz w:val="32"/>
          <w:szCs w:val="32"/>
          <w:lang w:val="en-US" w:eastAsia="zh-CN"/>
        </w:rPr>
        <w:t xml:space="preserve"> </w:t>
      </w:r>
      <w:r>
        <w:rPr>
          <w:rFonts w:hint="eastAsia" w:ascii="CESI仿宋-GB2312" w:hAnsi="CESI仿宋-GB2312" w:eastAsia="CESI仿宋-GB2312" w:cs="CESI仿宋-GB2312"/>
          <w:i w:val="0"/>
          <w:caps w:val="0"/>
          <w:color w:val="333333"/>
          <w:spacing w:val="0"/>
          <w:kern w:val="0"/>
          <w:sz w:val="32"/>
          <w:szCs w:val="32"/>
          <w:shd w:val="clear" w:color="auto" w:fill="FFFFFF"/>
          <w:lang w:val="en-US" w:eastAsia="zh-CN" w:bidi="ar"/>
        </w:rPr>
        <w:t>商标品牌奖励遵循专款专用、一次性奖励的原则。</w:t>
      </w:r>
    </w:p>
    <w:p>
      <w:pPr>
        <w:keepNext w:val="0"/>
        <w:keepLines w:val="0"/>
        <w:widowControl/>
        <w:suppressLineNumbers w:val="0"/>
        <w:ind w:firstLine="640" w:firstLineChars="200"/>
        <w:jc w:val="left"/>
        <w:rPr>
          <w:rFonts w:hint="eastAsia" w:ascii="CESI仿宋-GB2312" w:hAnsi="CESI仿宋-GB2312" w:eastAsia="CESI仿宋-GB2312" w:cs="CESI仿宋-GB2312"/>
          <w:sz w:val="32"/>
          <w:szCs w:val="32"/>
        </w:rPr>
      </w:pPr>
      <w:r>
        <w:rPr>
          <w:rFonts w:hint="eastAsia" w:ascii="CESI仿宋-GB2312" w:hAnsi="CESI仿宋-GB2312" w:eastAsia="CESI仿宋-GB2312" w:cs="CESI仿宋-GB2312"/>
          <w:i w:val="0"/>
          <w:caps w:val="0"/>
          <w:color w:val="333333"/>
          <w:spacing w:val="0"/>
          <w:kern w:val="0"/>
          <w:sz w:val="32"/>
          <w:szCs w:val="32"/>
          <w:shd w:val="clear" w:color="auto" w:fill="FFFFFF"/>
          <w:lang w:val="en-US" w:eastAsia="zh-CN" w:bidi="ar"/>
        </w:rPr>
        <w:t>同一商标权利人在同一种类或相似商品或服务获得驰名认定或地理标志注册的，不得重复奖励；同一商标在同一年度获得驰名认定或地理标志注册的，按最高标准奖励一次。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w:t>
      </w:r>
      <w:r>
        <w:rPr>
          <w:rFonts w:hint="eastAsia" w:ascii="CESI仿宋-GB2312" w:hAnsi="CESI仿宋-GB2312" w:eastAsia="CESI仿宋-GB2312" w:cs="CESI仿宋-GB2312"/>
          <w:b/>
          <w:bCs/>
          <w:sz w:val="32"/>
          <w:szCs w:val="32"/>
          <w:lang w:val="en-US" w:eastAsia="zh-CN"/>
        </w:rPr>
        <w:t>第七条</w:t>
      </w:r>
      <w:r>
        <w:rPr>
          <w:rFonts w:hint="eastAsia" w:ascii="CESI仿宋-GB2312" w:hAnsi="CESI仿宋-GB2312" w:eastAsia="CESI仿宋-GB2312" w:cs="CESI仿宋-GB2312"/>
          <w:sz w:val="32"/>
          <w:szCs w:val="32"/>
          <w:lang w:val="en-US" w:eastAsia="zh-CN"/>
        </w:rPr>
        <w:t xml:space="preserve"> 有下列情况之一的，不予奖励:</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(一)获得商标品牌荣誉的单位通过不正当手段取得商标品牌荣誉的。不正当手段包括:弄虚作假、伪造申请材料、行贿评审(评定)单位或评审员等。</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(二)获得商标品牌荣誉的单位在发放奖励之前已撤离我市区域的。</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(三)获得商标品牌荣誉的注册商标在申请奖励之前已转让给单位以外的单位或个人，或注册商标处于变更、移转等状态的。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(四)延续认定(或复评)获得商标品牌荣誉称号的。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(五)获得商标品牌荣誉的单位处于行政诉讼期间的。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(六)单位因重组或合拼等原因，在申报奖励资料之前单位名称的字号与申办商标时的单位字号不相符的。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(七)其他影响商标品牌健康发展的情况。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第三章 申请条件和资料</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 xml:space="preserve">第八条 </w:t>
      </w:r>
      <w:r>
        <w:rPr>
          <w:rFonts w:hint="eastAsia" w:ascii="CESI仿宋-GB2312" w:hAnsi="CESI仿宋-GB2312" w:eastAsia="CESI仿宋-GB2312" w:cs="CESI仿宋-GB2312"/>
          <w:sz w:val="32"/>
          <w:szCs w:val="32"/>
          <w:lang w:val="en-US" w:eastAsia="zh-CN"/>
        </w:rPr>
        <w:t>申请奖励的单位需具备下列条件: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(一)在市内依法注册(登记或设立)，依法纳税。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(二)2022年5月起获得中国驰名商标、地理标志商标、地理标志产品。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 xml:space="preserve">第九条 申报奖励的单位，需提供以下资料: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（一）周口市商标品牌奖励申请表1份(详见附件)。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（二）营业执照或有关部门批准成立的文件复印件1份(原件备查)。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（三）商标注册证（农产品地理标志登记证书）复印件1份（原件备查）。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（四）驰名商标认定证明复印件1份（原件备查）。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（五）上一年度的完税证明复印件(原件备查)。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（六）其他相关材料。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第四章 受理和审核</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第十条</w:t>
      </w:r>
      <w:r>
        <w:rPr>
          <w:rFonts w:hint="eastAsia" w:ascii="CESI仿宋-GB2312" w:hAnsi="CESI仿宋-GB2312" w:eastAsia="CESI仿宋-GB2312" w:cs="CESI仿宋-GB2312"/>
          <w:sz w:val="32"/>
          <w:szCs w:val="32"/>
          <w:lang w:val="en-US" w:eastAsia="zh-CN"/>
        </w:rPr>
        <w:t xml:space="preserve"> 市市场监督管理局负责申请资料的受理和审核。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w:t>
      </w:r>
      <w:r>
        <w:rPr>
          <w:rFonts w:hint="eastAsia" w:ascii="CESI仿宋-GB2312" w:hAnsi="CESI仿宋-GB2312" w:eastAsia="CESI仿宋-GB2312" w:cs="CESI仿宋-GB2312"/>
          <w:b/>
          <w:bCs/>
          <w:sz w:val="32"/>
          <w:szCs w:val="32"/>
          <w:lang w:val="en-US" w:eastAsia="zh-CN"/>
        </w:rPr>
        <w:t>第十一条</w:t>
      </w:r>
      <w:r>
        <w:rPr>
          <w:rFonts w:hint="eastAsia" w:ascii="CESI仿宋-GB2312" w:hAnsi="CESI仿宋-GB2312" w:eastAsia="CESI仿宋-GB2312" w:cs="CESI仿宋-GB2312"/>
          <w:sz w:val="32"/>
          <w:szCs w:val="32"/>
          <w:lang w:val="en-US" w:eastAsia="zh-CN"/>
        </w:rPr>
        <w:t xml:space="preserve"> 奖励申请的受理时间以市市场监督管理局发布的通知为准。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逾期不申报的，视为放弃。市市场监督管理局对放弃奖励的单位做好备案记录。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第十二条</w:t>
      </w:r>
      <w:r>
        <w:rPr>
          <w:rFonts w:hint="eastAsia" w:ascii="CESI仿宋-GB2312" w:hAnsi="CESI仿宋-GB2312" w:eastAsia="CESI仿宋-GB2312" w:cs="CESI仿宋-GB2312"/>
          <w:sz w:val="32"/>
          <w:szCs w:val="32"/>
          <w:lang w:val="en-US" w:eastAsia="zh-CN"/>
        </w:rPr>
        <w:t xml:space="preserve"> 市市场监督管理局收到申请资料后在5个工作日内对申请资料进行审核，发现资料不符合要求的，要求申请单位在15个工作日内补足资料，申请单位在15个工作日内不能补足的，视为不符合申请条件。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第五章 奖励公示与发放</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第十三条</w:t>
      </w:r>
      <w:r>
        <w:rPr>
          <w:rFonts w:hint="eastAsia" w:ascii="CESI仿宋-GB2312" w:hAnsi="CESI仿宋-GB2312" w:eastAsia="CESI仿宋-GB2312" w:cs="CESI仿宋-GB2312"/>
          <w:sz w:val="32"/>
          <w:szCs w:val="32"/>
          <w:lang w:val="en-US" w:eastAsia="zh-CN"/>
        </w:rPr>
        <w:t xml:space="preserve"> 市市场监督管理局对符合规定的申请单位、奖励项目、奖励资金等通过《周口日报》、市市场监督管理局外网（http://scjg.zhoukou.gov.cn/）等方式予以公示，公示期为7天。在公示期间，市市场监督管理局收到异议的，对异议内容进行调查和处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 xml:space="preserve"> </w:t>
      </w:r>
      <w:r>
        <w:rPr>
          <w:rFonts w:hint="eastAsia" w:ascii="CESI仿宋-GB2312" w:hAnsi="CESI仿宋-GB2312" w:eastAsia="CESI仿宋-GB2312" w:cs="CESI仿宋-GB2312"/>
          <w:b/>
          <w:bCs/>
          <w:sz w:val="32"/>
          <w:szCs w:val="32"/>
          <w:lang w:val="en-US" w:eastAsia="zh-CN"/>
        </w:rPr>
        <w:t>第十四条</w:t>
      </w:r>
      <w:r>
        <w:rPr>
          <w:rFonts w:hint="eastAsia" w:ascii="CESI仿宋-GB2312" w:hAnsi="CESI仿宋-GB2312" w:eastAsia="CESI仿宋-GB2312" w:cs="CESI仿宋-GB2312"/>
          <w:sz w:val="32"/>
          <w:szCs w:val="32"/>
          <w:lang w:val="en-US" w:eastAsia="zh-CN"/>
        </w:rPr>
        <w:t xml:space="preserve"> 公示结束后，市市场监督管理局综合有关资料和公示情况对奖励申请进行审核。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第十五条</w:t>
      </w:r>
      <w:r>
        <w:rPr>
          <w:rFonts w:hint="eastAsia" w:ascii="CESI仿宋-GB2312" w:hAnsi="CESI仿宋-GB2312" w:eastAsia="CESI仿宋-GB2312" w:cs="CESI仿宋-GB2312"/>
          <w:sz w:val="32"/>
          <w:szCs w:val="32"/>
          <w:lang w:val="en-US" w:eastAsia="zh-CN"/>
        </w:rPr>
        <w:t xml:space="preserve"> 市市场监督管理局将奖励所需资金列入下一年度预算，于下一年集中支付。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center"/>
        <w:textAlignment w:val="auto"/>
        <w:rPr>
          <w:rFonts w:hint="eastAsia" w:ascii="CESI仿宋-GB2312" w:hAnsi="CESI仿宋-GB2312" w:eastAsia="CESI仿宋-GB2312" w:cs="CESI仿宋-GB2312"/>
          <w:b/>
          <w:bCs/>
          <w:sz w:val="32"/>
          <w:szCs w:val="32"/>
          <w:lang w:val="en-US" w:eastAsia="zh-CN"/>
        </w:rPr>
      </w:pPr>
      <w:r>
        <w:rPr>
          <w:rFonts w:hint="eastAsia" w:ascii="CESI仿宋-GB2312" w:hAnsi="CESI仿宋-GB2312" w:eastAsia="CESI仿宋-GB2312" w:cs="CESI仿宋-GB2312"/>
          <w:b/>
          <w:bCs/>
          <w:sz w:val="32"/>
          <w:szCs w:val="32"/>
          <w:lang w:val="en-US" w:eastAsia="zh-CN"/>
        </w:rPr>
        <w:t>第六章 监督与纪律</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第十六条</w:t>
      </w:r>
      <w:r>
        <w:rPr>
          <w:rFonts w:hint="eastAsia" w:ascii="CESI仿宋-GB2312" w:hAnsi="CESI仿宋-GB2312" w:eastAsia="CESI仿宋-GB2312" w:cs="CESI仿宋-GB2312"/>
          <w:sz w:val="32"/>
          <w:szCs w:val="32"/>
          <w:lang w:val="en-US" w:eastAsia="zh-CN"/>
        </w:rPr>
        <w:t xml:space="preserve"> 经检查发现商标品牌荣誉是通过不正当途径取得的，市市场监督管理局建议发证单位撤销其获得的商标品牌荣誉，并向社会公布其行为，追缴已发放的奖励资金。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b/>
          <w:bCs/>
          <w:sz w:val="32"/>
          <w:szCs w:val="32"/>
          <w:lang w:val="en-US" w:eastAsia="zh-CN"/>
        </w:rPr>
        <w:t>第十七条</w:t>
      </w:r>
      <w:r>
        <w:rPr>
          <w:rFonts w:hint="eastAsia" w:ascii="CESI仿宋-GB2312" w:hAnsi="CESI仿宋-GB2312" w:eastAsia="CESI仿宋-GB2312" w:cs="CESI仿宋-GB2312"/>
          <w:sz w:val="32"/>
          <w:szCs w:val="32"/>
          <w:lang w:val="en-US" w:eastAsia="zh-CN"/>
        </w:rPr>
        <w:t xml:space="preserve"> 相关职能部门及其工作人员在开展商标品牌建设及奖励资金发放期间玩忽职守、滥用职权、营私舞弊，由所在单位或者上级上管部门依法给予行政处分；构成犯罪的，由司法机法关依法追究刑事责任。 </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bCs/>
          <w:sz w:val="32"/>
          <w:szCs w:val="32"/>
          <w:lang w:val="en-US" w:eastAsia="zh-CN"/>
        </w:rPr>
        <w:t>第十八条</w:t>
      </w:r>
      <w:r>
        <w:rPr>
          <w:rFonts w:hint="eastAsia" w:ascii="CESI仿宋-GB2312" w:hAnsi="CESI仿宋-GB2312" w:eastAsia="CESI仿宋-GB2312" w:cs="CESI仿宋-GB2312"/>
          <w:sz w:val="32"/>
          <w:szCs w:val="32"/>
          <w:lang w:val="en-US" w:eastAsia="zh-CN"/>
        </w:rPr>
        <w:t xml:space="preserve"> 本办法自印发之日起实施，有效期5年。有效期届满或相关法律政策依据发生变化，将根据实施情况评估修订。</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CESI仿宋-GB2312" w:hAnsi="CESI仿宋-GB2312" w:eastAsia="CESI仿宋-GB2312" w:cs="CESI仿宋-GB2312"/>
          <w:sz w:val="32"/>
          <w:szCs w:val="32"/>
        </w:rPr>
      </w:pPr>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简体">
    <w:altName w:val="仿宋_GB2312"/>
    <w:panose1 w:val="02000000000000000000"/>
    <w:charset w:val="86"/>
    <w:family w:val="auto"/>
    <w:pitch w:val="default"/>
    <w:sig w:usb0="00000000" w:usb1="00000000" w:usb2="00000012" w:usb3="00000000" w:csb0="00040001" w:csb1="00000000"/>
  </w:font>
  <w:font w:name="CESI仿宋-GB2312">
    <w:altName w:val="仿宋"/>
    <w:panose1 w:val="02000500000000000000"/>
    <w:charset w:val="86"/>
    <w:family w:val="auto"/>
    <w:pitch w:val="default"/>
    <w:sig w:usb0="00000000" w:usb1="00000000" w:usb2="00000010" w:usb3="00000000" w:csb0="0004000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1NWI4MmZiMzAxNzA0MTIxN2ViZDIxMTgxYThjOTUifQ=="/>
  </w:docVars>
  <w:rsids>
    <w:rsidRoot w:val="00000000"/>
    <w:rsid w:val="05C37B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1836</Words>
  <Characters>1885</Characters>
  <Lines>0</Lines>
  <Paragraphs>0</Paragraphs>
  <TotalTime>0</TotalTime>
  <ScaleCrop>false</ScaleCrop>
  <LinksUpToDate>false</LinksUpToDate>
  <CharactersWithSpaces>1951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2023-06-27T01:17:46Z</dcterms:created>
  <dc:creator>dell</dc:creator>
  <cp:lastModifiedBy>L</cp:lastModifiedBy>
  <dcterms:modified xsi:type="dcterms:W3CDTF">2023-06-27T01:17:54Z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53077D071569455496B6E3B550DDA87B_12</vt:lpwstr>
  </property>
</Properties>
</file>